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FC0819" w:rsidRPr="00FC0819" w:rsidTr="00FC0819">
        <w:tc>
          <w:tcPr>
            <w:tcW w:w="1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0819" w:rsidRPr="00FC0819" w:rsidRDefault="00FC0819" w:rsidP="00FC081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6" name="Рисунок 6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819" w:rsidRPr="00FC0819" w:rsidTr="00FC0819">
        <w:tc>
          <w:tcPr>
            <w:tcW w:w="1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0819" w:rsidRPr="00FC0819" w:rsidRDefault="00FC0819" w:rsidP="00FC081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lang w:eastAsia="uk-UA"/>
              </w:rPr>
              <w:t>Кодекс законів про працю України</w:t>
            </w:r>
          </w:p>
        </w:tc>
      </w:tr>
    </w:tbl>
    <w:p w:rsidR="00FC0819" w:rsidRDefault="002F1CA9" w:rsidP="002F1CA9">
      <w:pPr>
        <w:pStyle w:val="rvps2"/>
        <w:shd w:val="clear" w:color="auto" w:fill="FFFFFF"/>
        <w:tabs>
          <w:tab w:val="left" w:pos="4500"/>
        </w:tabs>
        <w:spacing w:after="150"/>
        <w:ind w:firstLine="450"/>
        <w:jc w:val="both"/>
        <w:rPr>
          <w:rStyle w:val="rvts9"/>
          <w:b/>
          <w:bCs/>
          <w:color w:val="000000"/>
        </w:rPr>
      </w:pPr>
      <w:r>
        <w:rPr>
          <w:rStyle w:val="rvts9"/>
          <w:b/>
          <w:bCs/>
          <w:color w:val="000000"/>
        </w:rPr>
        <w:tab/>
      </w:r>
      <w:r w:rsidRPr="002F1CA9">
        <w:rPr>
          <w:rStyle w:val="rvts9"/>
          <w:b/>
          <w:bCs/>
          <w:color w:val="000000"/>
          <w:sz w:val="32"/>
          <w:szCs w:val="32"/>
        </w:rPr>
        <w:t>ВИТЯГ</w:t>
      </w:r>
    </w:p>
    <w:p w:rsidR="00FC0819" w:rsidRPr="002F1CA9" w:rsidRDefault="00FC0819" w:rsidP="00FC08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2F1CA9">
        <w:rPr>
          <w:rStyle w:val="rvts9"/>
          <w:b/>
          <w:bCs/>
          <w:color w:val="000000"/>
          <w:sz w:val="28"/>
          <w:szCs w:val="28"/>
        </w:rPr>
        <w:t>Стаття 119.</w:t>
      </w:r>
      <w:r w:rsidRPr="002F1CA9">
        <w:rPr>
          <w:color w:val="000000"/>
          <w:sz w:val="28"/>
          <w:szCs w:val="28"/>
        </w:rPr>
        <w:t> Гарантії для працівників на час виконання державних або громадських обов'язків</w:t>
      </w:r>
    </w:p>
    <w:p w:rsidR="00FC0819" w:rsidRPr="002F1CA9" w:rsidRDefault="00FC0819" w:rsidP="00FC08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710"/>
      <w:bookmarkEnd w:id="0"/>
      <w:r w:rsidRPr="002F1CA9">
        <w:rPr>
          <w:color w:val="000000"/>
          <w:sz w:val="28"/>
          <w:szCs w:val="28"/>
        </w:rPr>
        <w:t>На час виконання державних або громадських обов'язків, якщо за чинним законодавством України ці обов'язки можуть здійснюватись у робочий час, працівникам гарантується збереження місця роботи (посади) і середнього заробітку.</w:t>
      </w:r>
    </w:p>
    <w:p w:rsidR="00FC0819" w:rsidRPr="002F1CA9" w:rsidRDefault="00FC0819" w:rsidP="00FC08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711"/>
      <w:bookmarkEnd w:id="1"/>
      <w:r w:rsidRPr="002F1CA9">
        <w:rPr>
          <w:color w:val="000000"/>
          <w:sz w:val="28"/>
          <w:szCs w:val="28"/>
        </w:rPr>
        <w:t>Працівникам, які залучаються до виконання обов'язків, передбачених законами України </w:t>
      </w:r>
      <w:hyperlink r:id="rId5" w:tgtFrame="_blank" w:history="1">
        <w:r w:rsidRPr="002F1CA9">
          <w:rPr>
            <w:rStyle w:val="a3"/>
            <w:color w:val="000099"/>
            <w:sz w:val="28"/>
            <w:szCs w:val="28"/>
          </w:rPr>
          <w:t>"Про військовий обов'язок і військову службу"</w:t>
        </w:r>
      </w:hyperlink>
      <w:r w:rsidRPr="002F1CA9">
        <w:rPr>
          <w:color w:val="000000"/>
          <w:sz w:val="28"/>
          <w:szCs w:val="28"/>
        </w:rPr>
        <w:t> і </w:t>
      </w:r>
      <w:hyperlink r:id="rId6" w:tgtFrame="_blank" w:history="1">
        <w:r w:rsidRPr="002F1CA9">
          <w:rPr>
            <w:rStyle w:val="a3"/>
            <w:color w:val="000099"/>
            <w:sz w:val="28"/>
            <w:szCs w:val="28"/>
          </w:rPr>
          <w:t>"Про альтернативну (невійськову) службу"</w:t>
        </w:r>
      </w:hyperlink>
      <w:r w:rsidRPr="002F1CA9">
        <w:rPr>
          <w:color w:val="000000"/>
          <w:sz w:val="28"/>
          <w:szCs w:val="28"/>
        </w:rPr>
        <w:t>, </w:t>
      </w:r>
      <w:hyperlink r:id="rId7" w:tgtFrame="_blank" w:history="1">
        <w:r w:rsidRPr="002F1CA9">
          <w:rPr>
            <w:rStyle w:val="a3"/>
            <w:color w:val="000099"/>
            <w:sz w:val="28"/>
            <w:szCs w:val="28"/>
          </w:rPr>
          <w:t>"Про мобілізаційну підготовку та мобілізацію"</w:t>
        </w:r>
      </w:hyperlink>
      <w:r w:rsidRPr="002F1CA9">
        <w:rPr>
          <w:color w:val="000000"/>
          <w:sz w:val="28"/>
          <w:szCs w:val="28"/>
        </w:rPr>
        <w:t>, надаються гарантії та пільги відповідно до цих законів.</w:t>
      </w:r>
    </w:p>
    <w:p w:rsidR="00FC0819" w:rsidRPr="002F1CA9" w:rsidRDefault="00FC0819" w:rsidP="00FC08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1457"/>
      <w:bookmarkEnd w:id="2"/>
      <w:r w:rsidRPr="002F1CA9">
        <w:rPr>
          <w:color w:val="000000"/>
          <w:sz w:val="28"/>
          <w:szCs w:val="28"/>
        </w:rPr>
        <w:t>За працівниками, призваними на строкову військову службу, військову службу за призовом осіб офіцерського складу, військову службу за призовом під час мобілізації, на особливий період або прийнятими на військову службу за контрактом, у тому числі шляхом укладення нового контракту на проходження військової служби, під час дії особливого періоду на строк до його закінчення або до дня фактичного звільнення зберігаються місце роботи, посада і середній заробіток на підприємстві, в установі, організації, фермерському господарстві, сільськогосподарському виробничому кооперативі незалежно від підпорядкування та форми власності і у фізичних осіб - підприємців, у яких вони працювали на час призову. Таким працівникам здійснюється виплата грошового забезпечення за рахунок коштів Державного бюджету України відповідно до </w:t>
      </w:r>
      <w:hyperlink r:id="rId8" w:tgtFrame="_blank" w:history="1">
        <w:r w:rsidRPr="002F1CA9">
          <w:rPr>
            <w:rStyle w:val="a3"/>
            <w:color w:val="000099"/>
            <w:sz w:val="28"/>
            <w:szCs w:val="28"/>
          </w:rPr>
          <w:t>Закону України</w:t>
        </w:r>
      </w:hyperlink>
      <w:r w:rsidRPr="002F1CA9">
        <w:rPr>
          <w:color w:val="000000"/>
          <w:sz w:val="28"/>
          <w:szCs w:val="28"/>
        </w:rPr>
        <w:t> "Про соціальний і правовий захист військовослужбовців та членів їх сімей".</w:t>
      </w:r>
    </w:p>
    <w:p w:rsidR="00FC0819" w:rsidRPr="002F1CA9" w:rsidRDefault="00FC0819" w:rsidP="00FC08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1483"/>
      <w:bookmarkEnd w:id="3"/>
      <w:r w:rsidRPr="002F1CA9">
        <w:rPr>
          <w:rStyle w:val="rvts11"/>
          <w:i/>
          <w:iCs/>
          <w:color w:val="000000"/>
          <w:sz w:val="28"/>
          <w:szCs w:val="28"/>
        </w:rPr>
        <w:t>{Частину четверту статті 119 виключено на підставі Закону </w:t>
      </w:r>
      <w:hyperlink r:id="rId9" w:anchor="n9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1769-VIII від 06.12.2016</w:t>
        </w:r>
      </w:hyperlink>
      <w:r w:rsidRPr="002F1CA9">
        <w:rPr>
          <w:rStyle w:val="rvts11"/>
          <w:i/>
          <w:iCs/>
          <w:color w:val="000000"/>
          <w:sz w:val="28"/>
          <w:szCs w:val="28"/>
        </w:rPr>
        <w:t>}</w:t>
      </w:r>
    </w:p>
    <w:p w:rsidR="00FC0819" w:rsidRPr="002F1CA9" w:rsidRDefault="00FC0819" w:rsidP="00FC08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1486"/>
      <w:bookmarkEnd w:id="4"/>
      <w:r w:rsidRPr="002F1CA9">
        <w:rPr>
          <w:color w:val="000000"/>
          <w:sz w:val="28"/>
          <w:szCs w:val="28"/>
        </w:rPr>
        <w:t>Гарантії, визначені у </w:t>
      </w:r>
      <w:hyperlink r:id="rId10" w:anchor="n1457" w:history="1">
        <w:r w:rsidRPr="002F1CA9">
          <w:rPr>
            <w:rStyle w:val="a3"/>
            <w:color w:val="006600"/>
            <w:sz w:val="28"/>
            <w:szCs w:val="28"/>
          </w:rPr>
          <w:t>частині третій</w:t>
        </w:r>
      </w:hyperlink>
      <w:r w:rsidRPr="002F1CA9">
        <w:rPr>
          <w:color w:val="000000"/>
          <w:sz w:val="28"/>
          <w:szCs w:val="28"/>
        </w:rPr>
        <w:t> цієї статті, зберігаються за працівниками, які під час проходження військової служби отримали поранення (інші ушкодження здоров’я) та перебувають на лікуванні у медичних закладах, а також потрапили у полон або визнані безвісно відсутніми, на строк до дня, наступного за днем їх взяття на військовий облік у районних (міських) військових комісаріатах після їх звільнення з військової служби у разі закінчення ними лікування в медичних закладах незалежно від строку лікування, повернення з полону, появи їх після визнання безвісно відсутніми або до дня оголошення судом їх померлими.</w:t>
      </w:r>
    </w:p>
    <w:p w:rsidR="00FC0819" w:rsidRPr="002F1CA9" w:rsidRDefault="00FC0819" w:rsidP="00FC08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1509"/>
      <w:bookmarkEnd w:id="5"/>
      <w:r w:rsidRPr="002F1CA9">
        <w:rPr>
          <w:color w:val="000000"/>
          <w:sz w:val="28"/>
          <w:szCs w:val="28"/>
        </w:rPr>
        <w:lastRenderedPageBreak/>
        <w:t>Гарантії, визначені у частині третій цієї статті, в частині збереження місця роботи, посади не поширюються на осіб, які займали виборні посади в органах місцевого самоврядування та строк повноважень яких закінчився.</w:t>
      </w:r>
    </w:p>
    <w:p w:rsidR="00FC0819" w:rsidRPr="002F1CA9" w:rsidRDefault="00FC0819" w:rsidP="00FC08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712"/>
      <w:bookmarkEnd w:id="6"/>
      <w:r w:rsidRPr="002F1CA9">
        <w:rPr>
          <w:rStyle w:val="rvts46"/>
          <w:i/>
          <w:iCs/>
          <w:color w:val="000000"/>
          <w:sz w:val="28"/>
          <w:szCs w:val="28"/>
        </w:rPr>
        <w:t>{Стаття 119 із змінами, внесеними згідно із Законами </w:t>
      </w:r>
      <w:hyperlink r:id="rId11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6/95-ВР від 19.01.95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12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263/95-ВР від 05.07.95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13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1014-V від 11.05.2007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14" w:anchor="n65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1169-VII від 27.03.2014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15" w:anchor="n14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1275-VII від 20.05.2014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16" w:anchor="n6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116-VIII від 15.01.2015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17" w:anchor="n13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259-VIII від 18.03.2015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18" w:anchor="n9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433-VIII від 14.05.2015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19" w:anchor="n5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801-VIII від 12.11.2015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20" w:anchor="n6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911-VIII від 24.12.2015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21" w:anchor="n6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1769-VIII від 06.12.2016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, </w:t>
      </w:r>
      <w:hyperlink r:id="rId22" w:anchor="n6" w:tgtFrame="_blank" w:history="1">
        <w:r w:rsidRPr="002F1CA9">
          <w:rPr>
            <w:rStyle w:val="a3"/>
            <w:i/>
            <w:iCs/>
            <w:color w:val="000099"/>
            <w:sz w:val="28"/>
            <w:szCs w:val="28"/>
          </w:rPr>
          <w:t>№ 1971-VIII від 22.03.2017</w:t>
        </w:r>
      </w:hyperlink>
      <w:r w:rsidRPr="002F1CA9">
        <w:rPr>
          <w:rStyle w:val="rvts46"/>
          <w:i/>
          <w:iCs/>
          <w:color w:val="000000"/>
          <w:sz w:val="28"/>
          <w:szCs w:val="28"/>
        </w:rPr>
        <w:t>}</w:t>
      </w:r>
    </w:p>
    <w:p w:rsidR="007220F2" w:rsidRPr="002F1CA9" w:rsidRDefault="007220F2">
      <w:pPr>
        <w:rPr>
          <w:sz w:val="28"/>
          <w:szCs w:val="28"/>
        </w:rPr>
      </w:pPr>
    </w:p>
    <w:p w:rsidR="002F1CA9" w:rsidRPr="002F1CA9" w:rsidRDefault="002F1CA9">
      <w:pPr>
        <w:rPr>
          <w:sz w:val="28"/>
          <w:szCs w:val="28"/>
        </w:rPr>
      </w:pPr>
    </w:p>
    <w:sectPr w:rsidR="002F1CA9" w:rsidRPr="002F1CA9" w:rsidSect="002F1CA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819"/>
    <w:rsid w:val="0021111E"/>
    <w:rsid w:val="002F1CA9"/>
    <w:rsid w:val="007220F2"/>
    <w:rsid w:val="00FC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C0819"/>
  </w:style>
  <w:style w:type="character" w:styleId="a3">
    <w:name w:val="Hyperlink"/>
    <w:basedOn w:val="a0"/>
    <w:uiPriority w:val="99"/>
    <w:semiHidden/>
    <w:unhideWhenUsed/>
    <w:rsid w:val="00FC0819"/>
    <w:rPr>
      <w:color w:val="0000FF"/>
      <w:u w:val="single"/>
    </w:rPr>
  </w:style>
  <w:style w:type="character" w:customStyle="1" w:styleId="rvts11">
    <w:name w:val="rvts11"/>
    <w:basedOn w:val="a0"/>
    <w:rsid w:val="00FC0819"/>
  </w:style>
  <w:style w:type="character" w:customStyle="1" w:styleId="rvts46">
    <w:name w:val="rvts46"/>
    <w:basedOn w:val="a0"/>
    <w:rsid w:val="00FC0819"/>
  </w:style>
  <w:style w:type="paragraph" w:customStyle="1" w:styleId="rvps7">
    <w:name w:val="rvps7"/>
    <w:basedOn w:val="a"/>
    <w:rsid w:val="00F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FC0819"/>
  </w:style>
  <w:style w:type="paragraph" w:styleId="a4">
    <w:name w:val="Balloon Text"/>
    <w:basedOn w:val="a"/>
    <w:link w:val="a5"/>
    <w:uiPriority w:val="99"/>
    <w:semiHidden/>
    <w:unhideWhenUsed/>
    <w:rsid w:val="00F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11-12" TargetMode="External"/><Relationship Id="rId13" Type="http://schemas.openxmlformats.org/officeDocument/2006/relationships/hyperlink" Target="https://zakon.rada.gov.ua/laws/show/1014-16" TargetMode="External"/><Relationship Id="rId18" Type="http://schemas.openxmlformats.org/officeDocument/2006/relationships/hyperlink" Target="https://zakon.rada.gov.ua/laws/show/433-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769-19" TargetMode="External"/><Relationship Id="rId7" Type="http://schemas.openxmlformats.org/officeDocument/2006/relationships/hyperlink" Target="https://zakon.rada.gov.ua/laws/show/3543-12" TargetMode="External"/><Relationship Id="rId12" Type="http://schemas.openxmlformats.org/officeDocument/2006/relationships/hyperlink" Target="https://zakon.rada.gov.ua/laws/show/263/95-%D0%B2%D1%80" TargetMode="External"/><Relationship Id="rId17" Type="http://schemas.openxmlformats.org/officeDocument/2006/relationships/hyperlink" Target="https://zakon.rada.gov.ua/laws/show/259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6-19" TargetMode="External"/><Relationship Id="rId20" Type="http://schemas.openxmlformats.org/officeDocument/2006/relationships/hyperlink" Target="https://zakon.rada.gov.ua/laws/show/911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75-12" TargetMode="External"/><Relationship Id="rId11" Type="http://schemas.openxmlformats.org/officeDocument/2006/relationships/hyperlink" Target="https://zakon.rada.gov.ua/laws/show/6/95-%D0%B2%D1%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laws/show/2232-12" TargetMode="External"/><Relationship Id="rId15" Type="http://schemas.openxmlformats.org/officeDocument/2006/relationships/hyperlink" Target="https://zakon.rada.gov.ua/laws/show/1275-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322-08" TargetMode="External"/><Relationship Id="rId19" Type="http://schemas.openxmlformats.org/officeDocument/2006/relationships/hyperlink" Target="https://zakon.rada.gov.ua/laws/show/801-1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769-19" TargetMode="External"/><Relationship Id="rId14" Type="http://schemas.openxmlformats.org/officeDocument/2006/relationships/hyperlink" Target="https://zakon.rada.gov.ua/laws/show/1169-18" TargetMode="External"/><Relationship Id="rId22" Type="http://schemas.openxmlformats.org/officeDocument/2006/relationships/hyperlink" Target="https://zakon.rada.gov.ua/laws/show/1971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3</cp:revision>
  <cp:lastPrinted>2019-08-29T12:24:00Z</cp:lastPrinted>
  <dcterms:created xsi:type="dcterms:W3CDTF">2019-08-29T12:22:00Z</dcterms:created>
  <dcterms:modified xsi:type="dcterms:W3CDTF">2019-08-29T13:05:00Z</dcterms:modified>
</cp:coreProperties>
</file>